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3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134"/>
        <w:gridCol w:w="3538"/>
      </w:tblGrid>
      <w:tr w:rsidR="009E2354" w:rsidTr="00BB1CDF">
        <w:tc>
          <w:tcPr>
            <w:tcW w:w="5671" w:type="dxa"/>
          </w:tcPr>
          <w:p w:rsidR="00DF0332" w:rsidRPr="00DF0332" w:rsidRDefault="0071213C" w:rsidP="00DF0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Enseignant en milieu hospitalier</w:t>
            </w:r>
          </w:p>
          <w:p w:rsidR="009E2354" w:rsidRDefault="009E2354" w:rsidP="00AE2D2E">
            <w:pPr>
              <w:rPr>
                <w:b/>
                <w:sz w:val="20"/>
                <w:szCs w:val="20"/>
              </w:rPr>
            </w:pPr>
          </w:p>
          <w:p w:rsidR="009E2354" w:rsidRPr="00BE3317" w:rsidRDefault="009E2354" w:rsidP="00AE2D2E">
            <w:pPr>
              <w:rPr>
                <w:b/>
                <w:sz w:val="24"/>
                <w:szCs w:val="24"/>
              </w:rPr>
            </w:pPr>
          </w:p>
          <w:p w:rsidR="009E2354" w:rsidRDefault="009E2354" w:rsidP="00AE2D2E">
            <w:pPr>
              <w:rPr>
                <w:b/>
                <w:sz w:val="24"/>
                <w:szCs w:val="24"/>
              </w:rPr>
            </w:pPr>
            <w:r w:rsidRPr="00BE3317">
              <w:rPr>
                <w:b/>
                <w:sz w:val="24"/>
                <w:szCs w:val="24"/>
              </w:rPr>
              <w:t>Employeur :</w:t>
            </w:r>
            <w:r w:rsidR="00E05A21">
              <w:rPr>
                <w:b/>
                <w:sz w:val="24"/>
                <w:szCs w:val="24"/>
              </w:rPr>
              <w:t xml:space="preserve"> Vice-rectorat de la Nouvelle-Calédonie</w:t>
            </w:r>
          </w:p>
          <w:p w:rsidR="009E2354" w:rsidRDefault="009E2354" w:rsidP="00AE2D2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E2354" w:rsidRDefault="009E2354" w:rsidP="00AE2D2E">
            <w:pPr>
              <w:jc w:val="center"/>
              <w:rPr>
                <w:b/>
                <w:sz w:val="28"/>
                <w:szCs w:val="28"/>
              </w:rPr>
            </w:pPr>
          </w:p>
          <w:p w:rsidR="009E2354" w:rsidRDefault="009E2354" w:rsidP="00AE2D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9E2354" w:rsidRDefault="00E05A21" w:rsidP="00BB1C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/>
              </w:rPr>
              <w:drawing>
                <wp:inline distT="0" distB="0" distL="0" distR="0" wp14:anchorId="664390FB" wp14:editId="491DC96C">
                  <wp:extent cx="1200150" cy="88126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R--2012-482p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84" cy="88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CDF" w:rsidTr="00BA1491">
        <w:trPr>
          <w:trHeight w:val="1435"/>
        </w:trPr>
        <w:tc>
          <w:tcPr>
            <w:tcW w:w="5671" w:type="dxa"/>
          </w:tcPr>
          <w:p w:rsidR="00BB1CDF" w:rsidRPr="00DF0332" w:rsidRDefault="00BB1CDF" w:rsidP="00BB1CDF">
            <w:pPr>
              <w:rPr>
                <w:sz w:val="20"/>
                <w:szCs w:val="20"/>
              </w:rPr>
            </w:pPr>
            <w:r w:rsidRPr="00AB4B21">
              <w:rPr>
                <w:b/>
                <w:sz w:val="20"/>
                <w:szCs w:val="20"/>
              </w:rPr>
              <w:t>Corps /Domaine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DF0332" w:rsidRPr="00DF0332">
              <w:rPr>
                <w:sz w:val="20"/>
                <w:szCs w:val="20"/>
              </w:rPr>
              <w:t>Enseignement</w:t>
            </w:r>
            <w:r w:rsidR="00DF0332">
              <w:rPr>
                <w:sz w:val="20"/>
                <w:szCs w:val="20"/>
              </w:rPr>
              <w:t xml:space="preserve"> 1</w:t>
            </w:r>
            <w:r w:rsidR="00DF0332" w:rsidRPr="00DF0332">
              <w:rPr>
                <w:sz w:val="20"/>
                <w:szCs w:val="20"/>
                <w:vertAlign w:val="superscript"/>
              </w:rPr>
              <w:t>er</w:t>
            </w:r>
            <w:r w:rsidR="00DF0332">
              <w:rPr>
                <w:sz w:val="20"/>
                <w:szCs w:val="20"/>
              </w:rPr>
              <w:t xml:space="preserve"> et 2</w:t>
            </w:r>
            <w:r w:rsidR="00DF0332" w:rsidRPr="00DF0332">
              <w:rPr>
                <w:sz w:val="20"/>
                <w:szCs w:val="20"/>
                <w:vertAlign w:val="superscript"/>
              </w:rPr>
              <w:t>nd</w:t>
            </w:r>
            <w:r w:rsidR="00DF0332">
              <w:rPr>
                <w:sz w:val="20"/>
                <w:szCs w:val="20"/>
              </w:rPr>
              <w:t xml:space="preserve"> degré</w:t>
            </w:r>
          </w:p>
          <w:p w:rsidR="0095029F" w:rsidRDefault="0095029F" w:rsidP="0095029F">
            <w:pPr>
              <w:rPr>
                <w:sz w:val="20"/>
                <w:szCs w:val="20"/>
              </w:rPr>
            </w:pPr>
          </w:p>
          <w:p w:rsidR="0095029F" w:rsidRDefault="0095029F" w:rsidP="0095029F">
            <w:pPr>
              <w:rPr>
                <w:sz w:val="20"/>
                <w:szCs w:val="20"/>
              </w:rPr>
            </w:pPr>
          </w:p>
          <w:p w:rsidR="00BB1CDF" w:rsidRDefault="00BB1CDF" w:rsidP="00AE2D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Poste à pourvoir : </w:t>
            </w:r>
            <w:r w:rsidR="00902606">
              <w:rPr>
                <w:sz w:val="20"/>
                <w:szCs w:val="20"/>
              </w:rPr>
              <w:t xml:space="preserve">à </w:t>
            </w:r>
            <w:r w:rsidR="00807F86">
              <w:rPr>
                <w:sz w:val="20"/>
                <w:szCs w:val="20"/>
              </w:rPr>
              <w:t xml:space="preserve">compter </w:t>
            </w:r>
            <w:r w:rsidR="00837EB2">
              <w:rPr>
                <w:sz w:val="20"/>
                <w:szCs w:val="20"/>
              </w:rPr>
              <w:t>du 2 mars 2020</w:t>
            </w:r>
          </w:p>
          <w:p w:rsidR="00BB1CDF" w:rsidRDefault="00BB1CDF" w:rsidP="00AE2D2E">
            <w:pPr>
              <w:rPr>
                <w:b/>
                <w:sz w:val="20"/>
                <w:szCs w:val="20"/>
              </w:rPr>
            </w:pPr>
          </w:p>
          <w:p w:rsidR="008B6A3C" w:rsidRDefault="008B6A3C" w:rsidP="00AE2D2E">
            <w:pPr>
              <w:rPr>
                <w:b/>
                <w:sz w:val="20"/>
                <w:szCs w:val="20"/>
              </w:rPr>
            </w:pPr>
          </w:p>
          <w:p w:rsidR="00BB1CDF" w:rsidRPr="00BB1CDF" w:rsidRDefault="00BB1CDF" w:rsidP="00AE2D2E">
            <w:pPr>
              <w:rPr>
                <w:b/>
                <w:sz w:val="20"/>
                <w:szCs w:val="20"/>
              </w:rPr>
            </w:pPr>
            <w:r w:rsidRPr="00AB4B21">
              <w:rPr>
                <w:b/>
                <w:sz w:val="20"/>
                <w:szCs w:val="20"/>
              </w:rPr>
              <w:t>Date de dépôt de l’offre</w:t>
            </w:r>
            <w:r>
              <w:rPr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4672" w:type="dxa"/>
            <w:gridSpan w:val="2"/>
          </w:tcPr>
          <w:p w:rsidR="00BB1CDF" w:rsidRPr="00BB1CDF" w:rsidRDefault="00BB1CDF" w:rsidP="00AE2D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Direction</w:t>
            </w:r>
            <w:r w:rsidRPr="00AB4B21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1CDF">
              <w:rPr>
                <w:sz w:val="20"/>
                <w:szCs w:val="20"/>
              </w:rPr>
              <w:t>Direction générale des enseignements (DGE)</w:t>
            </w:r>
          </w:p>
          <w:p w:rsidR="00BB1CDF" w:rsidRPr="00AB4B21" w:rsidRDefault="00BB1CDF" w:rsidP="00AE2D2E">
            <w:pPr>
              <w:rPr>
                <w:b/>
                <w:sz w:val="20"/>
                <w:szCs w:val="20"/>
              </w:rPr>
            </w:pPr>
          </w:p>
          <w:p w:rsidR="00BB1CDF" w:rsidRPr="00AB4B21" w:rsidRDefault="00BB1CDF" w:rsidP="00AE2D2E">
            <w:pPr>
              <w:rPr>
                <w:b/>
                <w:sz w:val="20"/>
                <w:szCs w:val="20"/>
              </w:rPr>
            </w:pPr>
            <w:r w:rsidRPr="00AB4B21">
              <w:rPr>
                <w:b/>
                <w:sz w:val="20"/>
                <w:szCs w:val="20"/>
              </w:rPr>
              <w:t>Lieu de travail 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A02F7">
              <w:rPr>
                <w:sz w:val="20"/>
                <w:szCs w:val="20"/>
              </w:rPr>
              <w:t xml:space="preserve">Ecole </w:t>
            </w:r>
            <w:r w:rsidR="00AA4534">
              <w:rPr>
                <w:sz w:val="20"/>
                <w:szCs w:val="20"/>
              </w:rPr>
              <w:t>de l’</w:t>
            </w:r>
            <w:r w:rsidR="00662593">
              <w:rPr>
                <w:sz w:val="20"/>
                <w:szCs w:val="20"/>
              </w:rPr>
              <w:t xml:space="preserve">hôpital (au </w:t>
            </w:r>
            <w:proofErr w:type="spellStart"/>
            <w:r w:rsidR="00AA4534" w:rsidRPr="00AA4534">
              <w:rPr>
                <w:sz w:val="20"/>
                <w:szCs w:val="20"/>
              </w:rPr>
              <w:t>Medipôle</w:t>
            </w:r>
            <w:proofErr w:type="spellEnd"/>
            <w:r w:rsidR="00662593">
              <w:rPr>
                <w:sz w:val="20"/>
                <w:szCs w:val="20"/>
              </w:rPr>
              <w:t>)</w:t>
            </w:r>
            <w:r w:rsidR="00AA4534">
              <w:rPr>
                <w:sz w:val="20"/>
                <w:szCs w:val="20"/>
              </w:rPr>
              <w:t xml:space="preserve"> </w:t>
            </w:r>
          </w:p>
          <w:p w:rsidR="00BB1CDF" w:rsidRPr="00AB4B21" w:rsidRDefault="00BB1CDF" w:rsidP="00AE2D2E">
            <w:pPr>
              <w:rPr>
                <w:b/>
                <w:sz w:val="20"/>
                <w:szCs w:val="20"/>
              </w:rPr>
            </w:pPr>
          </w:p>
          <w:p w:rsidR="00BB1CDF" w:rsidRDefault="00BB1CDF" w:rsidP="00837EB2">
            <w:pPr>
              <w:rPr>
                <w:b/>
                <w:sz w:val="20"/>
                <w:szCs w:val="20"/>
              </w:rPr>
            </w:pPr>
            <w:r w:rsidRPr="00AB4B21">
              <w:rPr>
                <w:b/>
                <w:sz w:val="20"/>
                <w:szCs w:val="20"/>
              </w:rPr>
              <w:t>Date limite de candidature</w:t>
            </w:r>
            <w:r w:rsidR="00837EB2">
              <w:rPr>
                <w:b/>
                <w:sz w:val="20"/>
                <w:szCs w:val="20"/>
              </w:rPr>
              <w:t> : 26 février 2020</w:t>
            </w:r>
          </w:p>
        </w:tc>
      </w:tr>
    </w:tbl>
    <w:p w:rsidR="00F9771E" w:rsidRDefault="00F9771E" w:rsidP="009E2354">
      <w:pPr>
        <w:spacing w:after="0" w:line="240" w:lineRule="auto"/>
        <w:rPr>
          <w:color w:val="808080" w:themeColor="background1" w:themeShade="80"/>
          <w:sz w:val="28"/>
          <w:szCs w:val="28"/>
        </w:rPr>
      </w:pPr>
    </w:p>
    <w:p w:rsidR="00436717" w:rsidRDefault="00436717" w:rsidP="009E2354">
      <w:pPr>
        <w:spacing w:after="0" w:line="240" w:lineRule="auto"/>
        <w:rPr>
          <w:color w:val="808080" w:themeColor="background1" w:themeShade="80"/>
          <w:sz w:val="28"/>
          <w:szCs w:val="28"/>
        </w:rPr>
      </w:pPr>
    </w:p>
    <w:p w:rsidR="009E2354" w:rsidRDefault="009E2354" w:rsidP="009E2354">
      <w:pPr>
        <w:spacing w:after="0" w:line="240" w:lineRule="auto"/>
        <w:rPr>
          <w:color w:val="808080" w:themeColor="background1" w:themeShade="80"/>
          <w:sz w:val="28"/>
          <w:szCs w:val="28"/>
        </w:rPr>
      </w:pPr>
      <w:r w:rsidRPr="00AB4B21">
        <w:rPr>
          <w:color w:val="808080" w:themeColor="background1" w:themeShade="80"/>
          <w:sz w:val="28"/>
          <w:szCs w:val="28"/>
        </w:rPr>
        <w:t xml:space="preserve">Détails de l’offre : </w:t>
      </w:r>
    </w:p>
    <w:p w:rsidR="009E2354" w:rsidRPr="00AB4B21" w:rsidRDefault="009E2354" w:rsidP="009E2354">
      <w:pPr>
        <w:spacing w:after="0" w:line="240" w:lineRule="auto"/>
        <w:rPr>
          <w:color w:val="808080" w:themeColor="background1" w:themeShade="80"/>
          <w:sz w:val="28"/>
          <w:szCs w:val="28"/>
        </w:rPr>
      </w:pPr>
    </w:p>
    <w:tbl>
      <w:tblPr>
        <w:tblStyle w:val="Grilledutableau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47"/>
      </w:tblGrid>
      <w:tr w:rsidR="009E2354" w:rsidRPr="00AB4B21" w:rsidTr="00637D14">
        <w:tc>
          <w:tcPr>
            <w:tcW w:w="10490" w:type="dxa"/>
            <w:gridSpan w:val="2"/>
          </w:tcPr>
          <w:p w:rsidR="00DF0332" w:rsidRPr="00DF0332" w:rsidRDefault="00F9771E" w:rsidP="00DF0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Emploi RESPNC :</w:t>
            </w:r>
            <w:r w:rsidR="00FD216B">
              <w:rPr>
                <w:b/>
                <w:sz w:val="20"/>
                <w:szCs w:val="20"/>
              </w:rPr>
              <w:t xml:space="preserve"> </w:t>
            </w:r>
            <w:r w:rsidR="003653F8">
              <w:rPr>
                <w:b/>
                <w:sz w:val="20"/>
                <w:szCs w:val="20"/>
              </w:rPr>
              <w:t>Enseignant spécialisé en milieu hospitalier</w:t>
            </w:r>
            <w:r w:rsidR="00DF0332" w:rsidRPr="00DF0332">
              <w:rPr>
                <w:b/>
                <w:sz w:val="20"/>
                <w:szCs w:val="20"/>
              </w:rPr>
              <w:t xml:space="preserve"> </w:t>
            </w:r>
          </w:p>
          <w:p w:rsidR="009E2354" w:rsidRDefault="009E2354" w:rsidP="00637D14">
            <w:pPr>
              <w:rPr>
                <w:b/>
                <w:sz w:val="20"/>
                <w:szCs w:val="20"/>
              </w:rPr>
            </w:pPr>
          </w:p>
          <w:p w:rsidR="00F9771E" w:rsidRPr="00AB4B21" w:rsidRDefault="00F9771E" w:rsidP="00637D14">
            <w:pPr>
              <w:rPr>
                <w:sz w:val="20"/>
                <w:szCs w:val="20"/>
              </w:rPr>
            </w:pPr>
          </w:p>
        </w:tc>
      </w:tr>
      <w:tr w:rsidR="009E2354" w:rsidRPr="00AB4B21" w:rsidTr="00637D14">
        <w:tc>
          <w:tcPr>
            <w:tcW w:w="2943" w:type="dxa"/>
          </w:tcPr>
          <w:p w:rsidR="009E2354" w:rsidRPr="00AB4B21" w:rsidRDefault="009E2354" w:rsidP="00637D14">
            <w:pPr>
              <w:rPr>
                <w:b/>
                <w:sz w:val="20"/>
                <w:szCs w:val="20"/>
              </w:rPr>
            </w:pPr>
            <w:r w:rsidRPr="00AB4B21">
              <w:rPr>
                <w:b/>
                <w:sz w:val="20"/>
                <w:szCs w:val="20"/>
              </w:rPr>
              <w:t>Missions :</w:t>
            </w:r>
          </w:p>
          <w:p w:rsidR="009E2354" w:rsidRPr="00AB4B21" w:rsidRDefault="009E2354" w:rsidP="00637D14">
            <w:pPr>
              <w:rPr>
                <w:sz w:val="20"/>
                <w:szCs w:val="20"/>
              </w:rPr>
            </w:pPr>
          </w:p>
        </w:tc>
        <w:tc>
          <w:tcPr>
            <w:tcW w:w="7547" w:type="dxa"/>
          </w:tcPr>
          <w:p w:rsidR="000B1E16" w:rsidRPr="00576F8F" w:rsidRDefault="000B1E16" w:rsidP="000B1E16">
            <w:pPr>
              <w:spacing w:line="240" w:lineRule="atLeast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fr-FR"/>
              </w:rPr>
            </w:pPr>
            <w:r w:rsidRPr="00576F8F">
              <w:rPr>
                <w:rFonts w:eastAsia="Times New Roman" w:cstheme="minorHAnsi"/>
                <w:b/>
                <w:sz w:val="20"/>
                <w:szCs w:val="20"/>
                <w:u w:val="single"/>
                <w:lang w:eastAsia="fr-FR"/>
              </w:rPr>
              <w:t>Activités principales</w:t>
            </w:r>
          </w:p>
          <w:p w:rsidR="00436717" w:rsidRDefault="00EB3EE5" w:rsidP="00EB3EE5">
            <w:pPr>
              <w:spacing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L’enseignant retenu garanti</w:t>
            </w:r>
            <w:r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les conditions de la poursuite d’un enseignement auprès des élèves hospitalisés, en liaison avec les é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tablissements d’accueil. Il f</w:t>
            </w:r>
            <w:r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>avorise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également</w:t>
            </w:r>
            <w:r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l’insertion scolaire et sociale des adolescents accueillis au  CHS,  au sein notamment du CASADO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EB3EE5" w:rsidRDefault="00EB3EE5" w:rsidP="00EB3EE5">
            <w:pPr>
              <w:spacing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Les missions inhérentes au poste </w:t>
            </w:r>
            <w:r w:rsidR="00AA4534">
              <w:rPr>
                <w:rFonts w:eastAsia="Times New Roman" w:cstheme="minorHAnsi"/>
                <w:sz w:val="20"/>
                <w:szCs w:val="20"/>
                <w:lang w:eastAsia="fr-FR"/>
              </w:rPr>
              <w:t>s’appuient sur les orientations suivantes 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:</w:t>
            </w:r>
          </w:p>
          <w:p w:rsidR="00EB3EE5" w:rsidRPr="00EB3EE5" w:rsidRDefault="00EB3EE5" w:rsidP="00EB3EE5">
            <w:pPr>
              <w:pStyle w:val="Paragraphedeliste"/>
              <w:numPr>
                <w:ilvl w:val="0"/>
                <w:numId w:val="18"/>
              </w:numPr>
              <w:spacing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L’e</w:t>
            </w:r>
            <w:r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nseignement, </w:t>
            </w:r>
            <w:r w:rsidR="00436717">
              <w:rPr>
                <w:rFonts w:eastAsia="Times New Roman" w:cstheme="minorHAnsi"/>
                <w:sz w:val="20"/>
                <w:szCs w:val="20"/>
                <w:lang w:eastAsia="fr-FR"/>
              </w:rPr>
              <w:t>le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soutien, </w:t>
            </w:r>
            <w:r w:rsidR="00436717">
              <w:rPr>
                <w:rFonts w:eastAsia="Times New Roman" w:cstheme="minorHAnsi"/>
                <w:sz w:val="20"/>
                <w:szCs w:val="20"/>
                <w:lang w:eastAsia="fr-FR"/>
              </w:rPr>
              <w:t>le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>maintien d’un lien par des activités de révision et transversales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 ;</w:t>
            </w:r>
          </w:p>
          <w:p w:rsidR="00EB3EE5" w:rsidRPr="00EB3EE5" w:rsidRDefault="00EB3EE5" w:rsidP="00EB3EE5">
            <w:pPr>
              <w:pStyle w:val="Paragraphedeliste"/>
              <w:numPr>
                <w:ilvl w:val="0"/>
                <w:numId w:val="18"/>
              </w:numPr>
              <w:spacing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L’organisation du s</w:t>
            </w:r>
            <w:r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>uivi scolaire en liaison avec les établissements d’accueil (long séjour)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 ;</w:t>
            </w:r>
          </w:p>
          <w:p w:rsidR="00EB3EE5" w:rsidRPr="00EB3EE5" w:rsidRDefault="00EB3EE5" w:rsidP="00EB3EE5">
            <w:pPr>
              <w:pStyle w:val="Paragraphedeliste"/>
              <w:numPr>
                <w:ilvl w:val="0"/>
                <w:numId w:val="18"/>
              </w:numPr>
              <w:spacing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L’a</w:t>
            </w:r>
            <w:r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>ide à la préparation aux diplômes nationaux : CFG, DNB</w:t>
            </w:r>
            <w:r w:rsidR="00436717">
              <w:rPr>
                <w:rFonts w:eastAsia="Times New Roman" w:cstheme="minorHAnsi"/>
                <w:sz w:val="20"/>
                <w:szCs w:val="20"/>
                <w:lang w:eastAsia="fr-FR"/>
              </w:rPr>
              <w:t>, BAC</w:t>
            </w:r>
            <w:r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...  </w:t>
            </w:r>
          </w:p>
          <w:p w:rsidR="00EB3EE5" w:rsidRPr="00EB3EE5" w:rsidRDefault="00EB3EE5" w:rsidP="00EB3EE5">
            <w:pPr>
              <w:pStyle w:val="Paragraphedeliste"/>
              <w:numPr>
                <w:ilvl w:val="0"/>
                <w:numId w:val="18"/>
              </w:numPr>
              <w:spacing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>Synthèses CHS et CHT : réunions éducatives, suivi de projets : PAI, PPS…</w:t>
            </w:r>
          </w:p>
          <w:p w:rsidR="00EB3EE5" w:rsidRPr="00EB3EE5" w:rsidRDefault="00AA4534" w:rsidP="00EB3EE5">
            <w:pPr>
              <w:pStyle w:val="Paragraphedeliste"/>
              <w:numPr>
                <w:ilvl w:val="0"/>
                <w:numId w:val="18"/>
              </w:numPr>
              <w:spacing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La préparation d</w:t>
            </w:r>
            <w:r w:rsidR="00EB3EE5" w:rsidRPr="00EB3EE5">
              <w:rPr>
                <w:rFonts w:eastAsia="Times New Roman" w:cstheme="minorHAnsi"/>
                <w:sz w:val="20"/>
                <w:szCs w:val="20"/>
                <w:lang w:eastAsia="fr-FR"/>
              </w:rPr>
              <w:t>es enfants et adolescents hospitalisés ou pris en charge sur le plan thérapeutique, à une réinsertion scolaire et éducative.</w:t>
            </w:r>
          </w:p>
          <w:p w:rsidR="00EB3EE5" w:rsidRDefault="00EB3EE5" w:rsidP="000B1E16">
            <w:pPr>
              <w:spacing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086784" w:rsidRPr="00086784" w:rsidRDefault="00086784" w:rsidP="00F41F9C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9E2354" w:rsidRPr="00AB4B21" w:rsidTr="00637D14">
        <w:tc>
          <w:tcPr>
            <w:tcW w:w="2943" w:type="dxa"/>
          </w:tcPr>
          <w:p w:rsidR="009E2354" w:rsidRPr="00AA77EA" w:rsidRDefault="009E2354" w:rsidP="00637D14">
            <w:pPr>
              <w:rPr>
                <w:b/>
                <w:sz w:val="20"/>
                <w:szCs w:val="20"/>
              </w:rPr>
            </w:pPr>
            <w:r w:rsidRPr="00AA77EA">
              <w:rPr>
                <w:b/>
                <w:sz w:val="20"/>
                <w:szCs w:val="20"/>
              </w:rPr>
              <w:t>Caractéristique</w:t>
            </w:r>
            <w:r w:rsidR="00FD216B">
              <w:rPr>
                <w:b/>
                <w:sz w:val="20"/>
                <w:szCs w:val="20"/>
              </w:rPr>
              <w:t>s</w:t>
            </w:r>
            <w:r w:rsidRPr="00AA77EA">
              <w:rPr>
                <w:b/>
                <w:sz w:val="20"/>
                <w:szCs w:val="20"/>
              </w:rPr>
              <w:t xml:space="preserve"> particulières de l’emploi :</w:t>
            </w:r>
          </w:p>
          <w:p w:rsidR="009E2354" w:rsidRDefault="009E2354" w:rsidP="00637D14">
            <w:pPr>
              <w:rPr>
                <w:sz w:val="20"/>
                <w:szCs w:val="20"/>
              </w:rPr>
            </w:pPr>
          </w:p>
        </w:tc>
        <w:tc>
          <w:tcPr>
            <w:tcW w:w="7547" w:type="dxa"/>
          </w:tcPr>
          <w:p w:rsidR="00077D07" w:rsidRDefault="00AA4534" w:rsidP="004367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  <w:r w:rsidRPr="00AA4534">
              <w:rPr>
                <w:sz w:val="20"/>
                <w:szCs w:val="20"/>
              </w:rPr>
              <w:t xml:space="preserve">enseignant </w:t>
            </w:r>
            <w:r>
              <w:rPr>
                <w:sz w:val="20"/>
                <w:szCs w:val="20"/>
              </w:rPr>
              <w:t xml:space="preserve">est </w:t>
            </w:r>
            <w:r w:rsidRPr="00AA4534">
              <w:rPr>
                <w:sz w:val="20"/>
                <w:szCs w:val="20"/>
              </w:rPr>
              <w:t>placé sous l’autorité et la responsabilité pédagogique de l’IEN 1er degré du vice-rectorat et sous la direction de l’école installée en milieu hospitalier</w:t>
            </w:r>
            <w:r>
              <w:rPr>
                <w:sz w:val="20"/>
                <w:szCs w:val="20"/>
              </w:rPr>
              <w:t xml:space="preserve">. </w:t>
            </w:r>
            <w:r w:rsidRPr="00AA45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L’emploi </w:t>
            </w:r>
            <w:r w:rsidR="00436717">
              <w:rPr>
                <w:sz w:val="20"/>
                <w:szCs w:val="20"/>
              </w:rPr>
              <w:t>est</w:t>
            </w:r>
            <w:r>
              <w:rPr>
                <w:sz w:val="20"/>
                <w:szCs w:val="20"/>
              </w:rPr>
              <w:t xml:space="preserve"> conditionné par la convention entre le CHT et le Vice Rectorat</w:t>
            </w:r>
            <w:r w:rsidR="00436717">
              <w:rPr>
                <w:sz w:val="20"/>
                <w:szCs w:val="20"/>
              </w:rPr>
              <w:t xml:space="preserve"> ; le recrutement est effectif pour </w:t>
            </w:r>
            <w:r w:rsidR="00436717" w:rsidRPr="00436717">
              <w:rPr>
                <w:sz w:val="20"/>
                <w:szCs w:val="20"/>
                <w:u w:val="single"/>
              </w:rPr>
              <w:t>une période de 2 ans renouvelable une fois</w:t>
            </w:r>
            <w:r w:rsidR="00436717">
              <w:rPr>
                <w:sz w:val="20"/>
                <w:szCs w:val="20"/>
              </w:rPr>
              <w:t xml:space="preserve">. </w:t>
            </w:r>
          </w:p>
          <w:p w:rsidR="005004AC" w:rsidRDefault="005004AC" w:rsidP="00436717">
            <w:pPr>
              <w:jc w:val="both"/>
              <w:rPr>
                <w:sz w:val="20"/>
                <w:szCs w:val="20"/>
              </w:rPr>
            </w:pPr>
          </w:p>
          <w:p w:rsidR="00077D07" w:rsidRDefault="00077D07" w:rsidP="00436717">
            <w:pPr>
              <w:jc w:val="both"/>
              <w:rPr>
                <w:sz w:val="20"/>
                <w:szCs w:val="20"/>
              </w:rPr>
            </w:pPr>
            <w:r w:rsidRPr="00077D07">
              <w:rPr>
                <w:sz w:val="20"/>
                <w:szCs w:val="20"/>
              </w:rPr>
              <w:t>Le temps de travail de 36 semaines pourra être modulé en marge du calendrier scolaire en fonction de l’organisation des  services.</w:t>
            </w:r>
          </w:p>
          <w:p w:rsidR="00436717" w:rsidRDefault="00436717" w:rsidP="00436717">
            <w:pPr>
              <w:jc w:val="both"/>
              <w:rPr>
                <w:sz w:val="20"/>
                <w:szCs w:val="20"/>
              </w:rPr>
            </w:pPr>
          </w:p>
          <w:p w:rsidR="00436717" w:rsidRPr="00436717" w:rsidRDefault="00436717" w:rsidP="00436717">
            <w:pPr>
              <w:jc w:val="both"/>
              <w:rPr>
                <w:sz w:val="20"/>
                <w:szCs w:val="20"/>
              </w:rPr>
            </w:pPr>
            <w:r w:rsidRPr="00436717">
              <w:rPr>
                <w:sz w:val="20"/>
                <w:szCs w:val="20"/>
              </w:rPr>
              <w:t>Les difficultés, spécificités et  les contraintes du poste</w:t>
            </w:r>
            <w:r>
              <w:rPr>
                <w:sz w:val="20"/>
                <w:szCs w:val="20"/>
              </w:rPr>
              <w:t> :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436717">
              <w:rPr>
                <w:sz w:val="20"/>
                <w:szCs w:val="20"/>
              </w:rPr>
              <w:t>Disponibilité, adaptation aux contraintes liées à une scolarisation adaptée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436717">
              <w:rPr>
                <w:sz w:val="20"/>
                <w:szCs w:val="20"/>
              </w:rPr>
              <w:t>Etre à l’écoute, porter un regard bienveillant et positif pour évaluer les élèves et leurs compétences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436717">
              <w:rPr>
                <w:sz w:val="20"/>
                <w:szCs w:val="20"/>
              </w:rPr>
              <w:t>Différenciation pédagogique et individualisation des apprentissages afin de rechercher l’efficacité des situations d’enseignement et d’apprentissage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436717">
              <w:rPr>
                <w:sz w:val="20"/>
                <w:szCs w:val="20"/>
              </w:rPr>
              <w:t>Organisation de bilans et synthèses pour mesurer les progrès et ajuster les aides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436717">
              <w:rPr>
                <w:sz w:val="20"/>
                <w:szCs w:val="20"/>
              </w:rPr>
              <w:t>Connaissances de base sur l’état de santé, les troubles et les pathologies des élèves pour adapter un enseignement</w:t>
            </w:r>
          </w:p>
          <w:p w:rsidR="00436717" w:rsidRDefault="00436717" w:rsidP="00436717">
            <w:pPr>
              <w:pStyle w:val="Paragraphedeliste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436717">
              <w:rPr>
                <w:sz w:val="20"/>
                <w:szCs w:val="20"/>
              </w:rPr>
              <w:t>Obligations de réserve, de neutralité et secret professionnel</w:t>
            </w:r>
          </w:p>
          <w:p w:rsidR="00B91498" w:rsidRDefault="00B91498" w:rsidP="005004AC">
            <w:pPr>
              <w:pStyle w:val="Paragraphedeliste"/>
              <w:jc w:val="both"/>
              <w:rPr>
                <w:sz w:val="20"/>
                <w:szCs w:val="20"/>
              </w:rPr>
            </w:pPr>
          </w:p>
          <w:p w:rsidR="005004AC" w:rsidRPr="00436717" w:rsidRDefault="005004AC" w:rsidP="005004AC">
            <w:pPr>
              <w:pStyle w:val="Paragraphedeliste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E2354" w:rsidRPr="00AB4B21" w:rsidTr="00637D14">
        <w:tc>
          <w:tcPr>
            <w:tcW w:w="2943" w:type="dxa"/>
          </w:tcPr>
          <w:p w:rsidR="001C1249" w:rsidRDefault="001C1249" w:rsidP="00637D14">
            <w:pPr>
              <w:rPr>
                <w:b/>
                <w:sz w:val="20"/>
                <w:szCs w:val="20"/>
              </w:rPr>
            </w:pPr>
          </w:p>
          <w:p w:rsidR="009E2354" w:rsidRPr="00AB4B21" w:rsidRDefault="009E2354" w:rsidP="00637D14">
            <w:pPr>
              <w:rPr>
                <w:b/>
                <w:sz w:val="20"/>
                <w:szCs w:val="20"/>
              </w:rPr>
            </w:pPr>
            <w:r w:rsidRPr="00AB4B21">
              <w:rPr>
                <w:b/>
                <w:sz w:val="20"/>
                <w:szCs w:val="20"/>
              </w:rPr>
              <w:lastRenderedPageBreak/>
              <w:t xml:space="preserve">Profil </w:t>
            </w:r>
            <w:r>
              <w:rPr>
                <w:b/>
                <w:sz w:val="20"/>
                <w:szCs w:val="20"/>
              </w:rPr>
              <w:t xml:space="preserve">du candidat </w:t>
            </w:r>
            <w:r w:rsidR="00436717">
              <w:rPr>
                <w:b/>
                <w:sz w:val="20"/>
                <w:szCs w:val="20"/>
              </w:rPr>
              <w:t>(titulaire d’une spécialisation équivalente au CAPPEI)</w:t>
            </w:r>
          </w:p>
          <w:p w:rsidR="009E2354" w:rsidRPr="00AB4B21" w:rsidRDefault="009E2354" w:rsidP="00637D14">
            <w:pPr>
              <w:rPr>
                <w:sz w:val="20"/>
                <w:szCs w:val="20"/>
              </w:rPr>
            </w:pPr>
          </w:p>
        </w:tc>
        <w:tc>
          <w:tcPr>
            <w:tcW w:w="7547" w:type="dxa"/>
          </w:tcPr>
          <w:p w:rsidR="001C1249" w:rsidRDefault="001C1249" w:rsidP="00637D14">
            <w:pPr>
              <w:rPr>
                <w:sz w:val="20"/>
                <w:szCs w:val="20"/>
                <w:u w:val="single"/>
              </w:rPr>
            </w:pPr>
          </w:p>
          <w:p w:rsidR="00EE7CAD" w:rsidRPr="0095029F" w:rsidRDefault="00EE7CAD" w:rsidP="0021228B">
            <w:pPr>
              <w:rPr>
                <w:sz w:val="20"/>
                <w:szCs w:val="20"/>
              </w:rPr>
            </w:pPr>
          </w:p>
        </w:tc>
      </w:tr>
    </w:tbl>
    <w:tbl>
      <w:tblPr>
        <w:tblW w:w="10532" w:type="dxa"/>
        <w:jc w:val="center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5761"/>
      </w:tblGrid>
      <w:tr w:rsidR="00436717" w:rsidRPr="00576F8F" w:rsidTr="00436717">
        <w:trPr>
          <w:trHeight w:hRule="exact" w:val="567"/>
          <w:jc w:val="center"/>
        </w:trPr>
        <w:tc>
          <w:tcPr>
            <w:tcW w:w="4771" w:type="dxa"/>
            <w:vAlign w:val="center"/>
          </w:tcPr>
          <w:p w:rsidR="00436717" w:rsidRPr="00576F8F" w:rsidRDefault="00436717" w:rsidP="00E02DA6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576F8F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lastRenderedPageBreak/>
              <w:t>SAVOIR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 et SAVOIR-FAIRE</w:t>
            </w:r>
          </w:p>
        </w:tc>
        <w:tc>
          <w:tcPr>
            <w:tcW w:w="5761" w:type="dxa"/>
            <w:vAlign w:val="center"/>
          </w:tcPr>
          <w:p w:rsidR="00436717" w:rsidRPr="00576F8F" w:rsidRDefault="00436717" w:rsidP="00E02DA6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576F8F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COMPORTEMENTS</w:t>
            </w:r>
          </w:p>
          <w:p w:rsidR="00436717" w:rsidRPr="00576F8F" w:rsidRDefault="00436717" w:rsidP="00E02DA6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576F8F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PROFESSIONNELS</w:t>
            </w:r>
          </w:p>
          <w:p w:rsidR="00436717" w:rsidRPr="00576F8F" w:rsidRDefault="00436717" w:rsidP="00E02DA6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436717" w:rsidRPr="00576F8F" w:rsidTr="00436717">
        <w:trPr>
          <w:jc w:val="center"/>
        </w:trPr>
        <w:tc>
          <w:tcPr>
            <w:tcW w:w="4771" w:type="dxa"/>
          </w:tcPr>
          <w:p w:rsidR="00436717" w:rsidRPr="00436717" w:rsidRDefault="00436717" w:rsidP="00436717">
            <w:pPr>
              <w:pStyle w:val="Paragraphedeliste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Proposer des activités  différenciées et adaptées en fonction du public, 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Travailler les compétences transversales à travers des activités pluridisciplinaires 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>Notions de base sur les principales maladies et pathologies infantiles traitées dans le groupe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>Compétences en relation et communication avec un public adolescent</w:t>
            </w:r>
          </w:p>
        </w:tc>
        <w:tc>
          <w:tcPr>
            <w:tcW w:w="5761" w:type="dxa"/>
          </w:tcPr>
          <w:p w:rsidR="00436717" w:rsidRPr="00436717" w:rsidRDefault="00436717" w:rsidP="00436717">
            <w:pPr>
              <w:pStyle w:val="Paragraphedeliste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Capacité d’adaptation 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>Aptitude au travail d’équipe (infirmier-psychologue, pédopsychiatre, éducateurs spécialisés, etc.)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>Aptitude au travail d’équipe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>Flexibilité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>Intelligence émotionnelle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>Respect du secret professionnel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>Sens de responsabilité dans la prise en charge des jeunes</w:t>
            </w:r>
          </w:p>
          <w:p w:rsidR="00436717" w:rsidRPr="00436717" w:rsidRDefault="00436717" w:rsidP="00436717">
            <w:pPr>
              <w:pStyle w:val="Paragraphedeliste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436717">
              <w:rPr>
                <w:rFonts w:eastAsia="Times New Roman" w:cstheme="minorHAnsi"/>
                <w:sz w:val="20"/>
                <w:szCs w:val="20"/>
                <w:lang w:eastAsia="fr-FR"/>
              </w:rPr>
              <w:t>Professionnel sachant se positionner et s’affirmer</w:t>
            </w:r>
          </w:p>
        </w:tc>
      </w:tr>
    </w:tbl>
    <w:tbl>
      <w:tblPr>
        <w:tblStyle w:val="Grilledutableau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2909"/>
        <w:gridCol w:w="34"/>
        <w:gridCol w:w="6237"/>
        <w:gridCol w:w="1276"/>
      </w:tblGrid>
      <w:tr w:rsidR="009E2354" w:rsidRPr="00AB4B21" w:rsidTr="00031BDF">
        <w:tc>
          <w:tcPr>
            <w:tcW w:w="2943" w:type="dxa"/>
            <w:gridSpan w:val="2"/>
          </w:tcPr>
          <w:p w:rsidR="009E2354" w:rsidRPr="00AB4B21" w:rsidRDefault="009E2354" w:rsidP="00637D14">
            <w:pPr>
              <w:rPr>
                <w:sz w:val="20"/>
                <w:szCs w:val="20"/>
              </w:rPr>
            </w:pPr>
          </w:p>
        </w:tc>
        <w:tc>
          <w:tcPr>
            <w:tcW w:w="7547" w:type="dxa"/>
            <w:gridSpan w:val="3"/>
          </w:tcPr>
          <w:p w:rsidR="0095029F" w:rsidRPr="00644F54" w:rsidRDefault="0095029F" w:rsidP="00EE7CAD">
            <w:pPr>
              <w:rPr>
                <w:sz w:val="20"/>
                <w:szCs w:val="20"/>
              </w:rPr>
            </w:pPr>
          </w:p>
        </w:tc>
      </w:tr>
      <w:tr w:rsidR="0021228B" w:rsidRPr="00AB4B21" w:rsidTr="00031BDF">
        <w:trPr>
          <w:trHeight w:val="1465"/>
        </w:trPr>
        <w:tc>
          <w:tcPr>
            <w:tcW w:w="10490" w:type="dxa"/>
            <w:gridSpan w:val="5"/>
          </w:tcPr>
          <w:p w:rsidR="0021228B" w:rsidRPr="0021228B" w:rsidRDefault="005004AC" w:rsidP="0021228B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La</w:t>
            </w:r>
            <w:r w:rsidR="0021228B" w:rsidRPr="0021228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candidature accompagnée de :</w:t>
            </w:r>
          </w:p>
          <w:p w:rsidR="0021228B" w:rsidRPr="0021228B" w:rsidRDefault="0021228B" w:rsidP="0021228B">
            <w:pPr>
              <w:numPr>
                <w:ilvl w:val="0"/>
                <w:numId w:val="17"/>
              </w:numPr>
              <w:spacing w:line="240" w:lineRule="atLeast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1228B">
              <w:rPr>
                <w:rFonts w:eastAsia="Times New Roman" w:cstheme="minorHAnsi"/>
                <w:sz w:val="20"/>
                <w:szCs w:val="20"/>
                <w:lang w:eastAsia="fr-FR"/>
              </w:rPr>
              <w:t>une lettre de motivation ;</w:t>
            </w:r>
          </w:p>
          <w:p w:rsidR="0021228B" w:rsidRDefault="0021228B" w:rsidP="0021228B">
            <w:pPr>
              <w:numPr>
                <w:ilvl w:val="0"/>
                <w:numId w:val="17"/>
              </w:numPr>
              <w:spacing w:line="240" w:lineRule="atLeast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1228B">
              <w:rPr>
                <w:rFonts w:eastAsia="Times New Roman" w:cstheme="minorHAnsi"/>
                <w:sz w:val="20"/>
                <w:szCs w:val="20"/>
                <w:lang w:eastAsia="fr-FR"/>
              </w:rPr>
              <w:t>un curriculum vitae à jour ;</w:t>
            </w:r>
          </w:p>
          <w:p w:rsidR="001C1D25" w:rsidRPr="0021228B" w:rsidRDefault="001C1D25" w:rsidP="0021228B">
            <w:pPr>
              <w:numPr>
                <w:ilvl w:val="0"/>
                <w:numId w:val="17"/>
              </w:numPr>
              <w:spacing w:line="240" w:lineRule="atLeast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deux derniers rapports d’inspection</w:t>
            </w:r>
            <w:r w:rsidR="00753512">
              <w:rPr>
                <w:rFonts w:eastAsia="Times New Roman" w:cstheme="minorHAnsi"/>
                <w:sz w:val="20"/>
                <w:szCs w:val="20"/>
                <w:lang w:eastAsia="fr-FR"/>
              </w:rPr>
              <w:t> ;</w:t>
            </w:r>
          </w:p>
          <w:p w:rsidR="00031BDF" w:rsidRPr="00753512" w:rsidRDefault="005004AC" w:rsidP="00031BDF">
            <w:pPr>
              <w:spacing w:after="200" w:line="24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doi</w:t>
            </w:r>
            <w:r w:rsidR="0021228B" w:rsidRPr="0021228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 être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adressée</w:t>
            </w:r>
            <w:r w:rsidR="00031BDF" w:rsidRPr="00753512">
              <w:rPr>
                <w:rFonts w:cstheme="minorHAnsi"/>
                <w:sz w:val="20"/>
                <w:szCs w:val="20"/>
              </w:rPr>
              <w:t xml:space="preserve"> à la Division du Personnel</w:t>
            </w:r>
            <w:r w:rsidR="00031BDF" w:rsidRPr="0075351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31BDF" w:rsidRPr="00753512">
              <w:rPr>
                <w:rFonts w:cstheme="minorHAnsi"/>
                <w:sz w:val="20"/>
                <w:szCs w:val="20"/>
              </w:rPr>
              <w:t>du</w:t>
            </w:r>
            <w:r w:rsidR="00031BDF" w:rsidRPr="0075351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31BDF" w:rsidRPr="00753512">
              <w:rPr>
                <w:rFonts w:cstheme="minorHAnsi"/>
                <w:bCs/>
                <w:sz w:val="20"/>
                <w:szCs w:val="20"/>
              </w:rPr>
              <w:t>v</w:t>
            </w:r>
            <w:r w:rsidR="00031BDF" w:rsidRPr="00753512">
              <w:rPr>
                <w:rFonts w:cstheme="minorHAnsi"/>
                <w:sz w:val="20"/>
                <w:szCs w:val="20"/>
              </w:rPr>
              <w:t xml:space="preserve">ice rectorat </w:t>
            </w:r>
            <w:r w:rsidR="00031BDF">
              <w:rPr>
                <w:rFonts w:cstheme="minorHAnsi"/>
                <w:sz w:val="20"/>
                <w:szCs w:val="20"/>
              </w:rPr>
              <w:t xml:space="preserve"> (</w:t>
            </w:r>
            <w:hyperlink r:id="rId7" w:history="1">
              <w:r w:rsidRPr="00040A4C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ce.dp@ac-noumea.nc</w:t>
              </w:r>
            </w:hyperlink>
            <w:r w:rsidR="00031BD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) </w:t>
            </w:r>
            <w:r w:rsidR="00031BDF" w:rsidRPr="00753512">
              <w:rPr>
                <w:rFonts w:cstheme="minorHAnsi"/>
                <w:b/>
                <w:bCs/>
                <w:sz w:val="20"/>
                <w:szCs w:val="20"/>
                <w:u w:val="single"/>
              </w:rPr>
              <w:t>avant</w:t>
            </w:r>
            <w:r w:rsidR="00031BDF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31BDF" w:rsidRPr="0075351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Le </w:t>
            </w:r>
            <w:r w:rsidR="00B91498">
              <w:rPr>
                <w:rFonts w:cstheme="minorHAnsi"/>
                <w:b/>
                <w:bCs/>
                <w:sz w:val="20"/>
                <w:szCs w:val="20"/>
                <w:u w:val="single"/>
              </w:rPr>
              <w:t>26 février 2020</w:t>
            </w:r>
            <w:r w:rsidR="00031BDF" w:rsidRPr="00753512">
              <w:rPr>
                <w:rFonts w:cstheme="minorHAnsi"/>
                <w:b/>
                <w:bCs/>
                <w:sz w:val="20"/>
                <w:szCs w:val="20"/>
                <w:u w:val="single"/>
              </w:rPr>
              <w:t>.</w:t>
            </w:r>
          </w:p>
          <w:p w:rsidR="0021228B" w:rsidRPr="00086784" w:rsidRDefault="0021228B" w:rsidP="00031BDF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9E2354" w:rsidRPr="00AB4B21" w:rsidTr="00031BDF">
        <w:trPr>
          <w:gridBefore w:val="1"/>
          <w:gridAfter w:val="1"/>
          <w:wBefore w:w="34" w:type="dxa"/>
          <w:wAfter w:w="1276" w:type="dxa"/>
          <w:trHeight w:val="596"/>
        </w:trPr>
        <w:tc>
          <w:tcPr>
            <w:tcW w:w="2943" w:type="dxa"/>
            <w:gridSpan w:val="2"/>
          </w:tcPr>
          <w:p w:rsidR="009E2354" w:rsidRPr="00AB4B21" w:rsidRDefault="009E2354" w:rsidP="00AE2D2E">
            <w:pPr>
              <w:rPr>
                <w:b/>
                <w:sz w:val="20"/>
                <w:szCs w:val="20"/>
              </w:rPr>
            </w:pPr>
            <w:r w:rsidRPr="00AB4B21">
              <w:rPr>
                <w:b/>
                <w:sz w:val="20"/>
                <w:szCs w:val="20"/>
              </w:rPr>
              <w:t>Contact et informations complémentaires :</w:t>
            </w:r>
          </w:p>
          <w:p w:rsidR="009E2354" w:rsidRPr="00AB4B21" w:rsidRDefault="009E2354" w:rsidP="00AE2D2E">
            <w:pPr>
              <w:rPr>
                <w:b/>
                <w:sz w:val="20"/>
                <w:szCs w:val="20"/>
              </w:rPr>
            </w:pPr>
          </w:p>
          <w:p w:rsidR="009E2354" w:rsidRPr="00AB4B21" w:rsidRDefault="009E2354" w:rsidP="00AE2D2E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9E2354" w:rsidRDefault="0021228B" w:rsidP="00AE2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Monsieur Jean-Yves KARTONO IEN </w:t>
            </w:r>
            <w:r w:rsidR="00896433">
              <w:rPr>
                <w:sz w:val="20"/>
                <w:szCs w:val="20"/>
              </w:rPr>
              <w:t>du 1</w:t>
            </w:r>
            <w:r w:rsidR="00896433" w:rsidRPr="00896433">
              <w:rPr>
                <w:sz w:val="20"/>
                <w:szCs w:val="20"/>
                <w:vertAlign w:val="superscript"/>
              </w:rPr>
              <w:t>er</w:t>
            </w:r>
            <w:r w:rsidR="00896433">
              <w:rPr>
                <w:sz w:val="20"/>
                <w:szCs w:val="20"/>
              </w:rPr>
              <w:t xml:space="preserve"> degré </w:t>
            </w:r>
            <w:r>
              <w:rPr>
                <w:sz w:val="20"/>
                <w:szCs w:val="20"/>
              </w:rPr>
              <w:t xml:space="preserve">en charge </w:t>
            </w:r>
            <w:r w:rsidR="002F7B6C">
              <w:rPr>
                <w:sz w:val="20"/>
                <w:szCs w:val="20"/>
              </w:rPr>
              <w:t>de l’ASH</w:t>
            </w:r>
          </w:p>
          <w:p w:rsidR="00644F54" w:rsidRDefault="005004AC" w:rsidP="00AE2D2E">
            <w:pPr>
              <w:rPr>
                <w:sz w:val="20"/>
                <w:szCs w:val="20"/>
              </w:rPr>
            </w:pPr>
            <w:hyperlink r:id="rId8" w:history="1">
              <w:r w:rsidR="001C1D25" w:rsidRPr="00631DF8">
                <w:rPr>
                  <w:rStyle w:val="Lienhypertexte"/>
                  <w:sz w:val="20"/>
                  <w:szCs w:val="20"/>
                </w:rPr>
                <w:t>secien@ac-noumea.nc</w:t>
              </w:r>
            </w:hyperlink>
            <w:r w:rsidR="001C1D25">
              <w:rPr>
                <w:sz w:val="20"/>
                <w:szCs w:val="20"/>
              </w:rPr>
              <w:t xml:space="preserve"> ou </w:t>
            </w:r>
            <w:r w:rsidR="00644F54">
              <w:rPr>
                <w:sz w:val="20"/>
                <w:szCs w:val="20"/>
              </w:rPr>
              <w:t>26</w:t>
            </w:r>
            <w:r w:rsidR="00910AE2">
              <w:rPr>
                <w:sz w:val="20"/>
                <w:szCs w:val="20"/>
              </w:rPr>
              <w:t>.</w:t>
            </w:r>
            <w:r w:rsidR="00EE7CAD">
              <w:rPr>
                <w:sz w:val="20"/>
                <w:szCs w:val="20"/>
              </w:rPr>
              <w:t>61.</w:t>
            </w:r>
            <w:r w:rsidR="0021228B">
              <w:rPr>
                <w:sz w:val="20"/>
                <w:szCs w:val="20"/>
              </w:rPr>
              <w:t>68</w:t>
            </w:r>
          </w:p>
          <w:p w:rsidR="002E2B40" w:rsidRPr="00AB4B21" w:rsidRDefault="002E2B40" w:rsidP="00AE2D2E">
            <w:pPr>
              <w:rPr>
                <w:sz w:val="20"/>
                <w:szCs w:val="20"/>
              </w:rPr>
            </w:pPr>
          </w:p>
        </w:tc>
      </w:tr>
    </w:tbl>
    <w:p w:rsidR="000077C6" w:rsidRPr="00576F8F" w:rsidRDefault="000077C6" w:rsidP="001C1D25">
      <w:pPr>
        <w:spacing w:line="240" w:lineRule="atLeast"/>
        <w:jc w:val="center"/>
        <w:rPr>
          <w:rFonts w:cstheme="minorHAnsi"/>
        </w:rPr>
      </w:pPr>
    </w:p>
    <w:sectPr w:rsidR="000077C6" w:rsidRPr="00576F8F" w:rsidSect="00637D14">
      <w:pgSz w:w="11906" w:h="16838"/>
      <w:pgMar w:top="851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CF7"/>
    <w:multiLevelType w:val="hybridMultilevel"/>
    <w:tmpl w:val="1C6CBC08"/>
    <w:lvl w:ilvl="0" w:tplc="A5B8E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B1C"/>
    <w:multiLevelType w:val="hybridMultilevel"/>
    <w:tmpl w:val="F9C6E780"/>
    <w:lvl w:ilvl="0" w:tplc="6B7E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357"/>
    <w:multiLevelType w:val="hybridMultilevel"/>
    <w:tmpl w:val="C9CC3900"/>
    <w:lvl w:ilvl="0" w:tplc="D4346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A0D74"/>
    <w:multiLevelType w:val="hybridMultilevel"/>
    <w:tmpl w:val="F3CEE3B8"/>
    <w:lvl w:ilvl="0" w:tplc="1EAAD6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B6B61"/>
    <w:multiLevelType w:val="hybridMultilevel"/>
    <w:tmpl w:val="67CA2856"/>
    <w:lvl w:ilvl="0" w:tplc="A5B8EF24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31170F18"/>
    <w:multiLevelType w:val="hybridMultilevel"/>
    <w:tmpl w:val="6BE6CC54"/>
    <w:lvl w:ilvl="0" w:tplc="D4346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819FD"/>
    <w:multiLevelType w:val="hybridMultilevel"/>
    <w:tmpl w:val="4A04CE18"/>
    <w:lvl w:ilvl="0" w:tplc="31D87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401AA"/>
    <w:multiLevelType w:val="hybridMultilevel"/>
    <w:tmpl w:val="21A62C7E"/>
    <w:lvl w:ilvl="0" w:tplc="49CA60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A37EA"/>
    <w:multiLevelType w:val="hybridMultilevel"/>
    <w:tmpl w:val="B33691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883B11"/>
    <w:multiLevelType w:val="hybridMultilevel"/>
    <w:tmpl w:val="CB24B04C"/>
    <w:lvl w:ilvl="0" w:tplc="068202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322ED"/>
    <w:multiLevelType w:val="hybridMultilevel"/>
    <w:tmpl w:val="90DE1140"/>
    <w:lvl w:ilvl="0" w:tplc="E40EA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97EB9"/>
    <w:multiLevelType w:val="hybridMultilevel"/>
    <w:tmpl w:val="7E96AFFA"/>
    <w:lvl w:ilvl="0" w:tplc="9DBA6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B1ED2"/>
    <w:multiLevelType w:val="hybridMultilevel"/>
    <w:tmpl w:val="12CED8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67622B"/>
    <w:multiLevelType w:val="hybridMultilevel"/>
    <w:tmpl w:val="34143A02"/>
    <w:lvl w:ilvl="0" w:tplc="DDA6A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F1D8E"/>
    <w:multiLevelType w:val="hybridMultilevel"/>
    <w:tmpl w:val="148C8CBC"/>
    <w:lvl w:ilvl="0" w:tplc="D4346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B3F78"/>
    <w:multiLevelType w:val="hybridMultilevel"/>
    <w:tmpl w:val="8814EC06"/>
    <w:lvl w:ilvl="0" w:tplc="CD28F6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B5DC4"/>
    <w:multiLevelType w:val="hybridMultilevel"/>
    <w:tmpl w:val="FD94CA46"/>
    <w:lvl w:ilvl="0" w:tplc="A5B8E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96559"/>
    <w:multiLevelType w:val="hybridMultilevel"/>
    <w:tmpl w:val="4CE8D9C0"/>
    <w:lvl w:ilvl="0" w:tplc="FDEE46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C1D9E"/>
    <w:multiLevelType w:val="hybridMultilevel"/>
    <w:tmpl w:val="B5F4FCD4"/>
    <w:lvl w:ilvl="0" w:tplc="A5B8E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90E89"/>
    <w:multiLevelType w:val="hybridMultilevel"/>
    <w:tmpl w:val="9B044DF6"/>
    <w:lvl w:ilvl="0" w:tplc="D4346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3055B"/>
    <w:multiLevelType w:val="hybridMultilevel"/>
    <w:tmpl w:val="437A1180"/>
    <w:lvl w:ilvl="0" w:tplc="A5B8E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20"/>
  </w:num>
  <w:num w:numId="6">
    <w:abstractNumId w:val="18"/>
  </w:num>
  <w:num w:numId="7">
    <w:abstractNumId w:val="3"/>
  </w:num>
  <w:num w:numId="8">
    <w:abstractNumId w:val="13"/>
  </w:num>
  <w:num w:numId="9">
    <w:abstractNumId w:val="11"/>
  </w:num>
  <w:num w:numId="10">
    <w:abstractNumId w:val="15"/>
  </w:num>
  <w:num w:numId="11">
    <w:abstractNumId w:val="9"/>
  </w:num>
  <w:num w:numId="12">
    <w:abstractNumId w:val="17"/>
  </w:num>
  <w:num w:numId="13">
    <w:abstractNumId w:val="10"/>
  </w:num>
  <w:num w:numId="14">
    <w:abstractNumId w:val="0"/>
  </w:num>
  <w:num w:numId="15">
    <w:abstractNumId w:val="4"/>
  </w:num>
  <w:num w:numId="16">
    <w:abstractNumId w:val="16"/>
  </w:num>
  <w:num w:numId="17">
    <w:abstractNumId w:val="1"/>
  </w:num>
  <w:num w:numId="18">
    <w:abstractNumId w:val="19"/>
  </w:num>
  <w:num w:numId="19">
    <w:abstractNumId w:val="14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54"/>
    <w:rsid w:val="000077C6"/>
    <w:rsid w:val="00031BDF"/>
    <w:rsid w:val="00036736"/>
    <w:rsid w:val="00077D07"/>
    <w:rsid w:val="000824D4"/>
    <w:rsid w:val="00086784"/>
    <w:rsid w:val="000B1E16"/>
    <w:rsid w:val="000B2B94"/>
    <w:rsid w:val="000E40D4"/>
    <w:rsid w:val="00114970"/>
    <w:rsid w:val="00127E4E"/>
    <w:rsid w:val="001B7173"/>
    <w:rsid w:val="001C1249"/>
    <w:rsid w:val="001C1D25"/>
    <w:rsid w:val="001D4110"/>
    <w:rsid w:val="002013E9"/>
    <w:rsid w:val="0021228B"/>
    <w:rsid w:val="00290F2D"/>
    <w:rsid w:val="002E2B40"/>
    <w:rsid w:val="002F7B6C"/>
    <w:rsid w:val="003653F8"/>
    <w:rsid w:val="003C3455"/>
    <w:rsid w:val="003C3B5F"/>
    <w:rsid w:val="00436717"/>
    <w:rsid w:val="005004AC"/>
    <w:rsid w:val="00531B81"/>
    <w:rsid w:val="00566540"/>
    <w:rsid w:val="00576F8F"/>
    <w:rsid w:val="00580BD0"/>
    <w:rsid w:val="005A02F7"/>
    <w:rsid w:val="005E5BB6"/>
    <w:rsid w:val="0060245A"/>
    <w:rsid w:val="00623B6F"/>
    <w:rsid w:val="00637D14"/>
    <w:rsid w:val="006416FD"/>
    <w:rsid w:val="00644F54"/>
    <w:rsid w:val="00662593"/>
    <w:rsid w:val="0069452D"/>
    <w:rsid w:val="006F5739"/>
    <w:rsid w:val="0071213C"/>
    <w:rsid w:val="00745CDC"/>
    <w:rsid w:val="00753512"/>
    <w:rsid w:val="007700B9"/>
    <w:rsid w:val="007E3531"/>
    <w:rsid w:val="00807F86"/>
    <w:rsid w:val="00816E1A"/>
    <w:rsid w:val="00837EB2"/>
    <w:rsid w:val="0084572D"/>
    <w:rsid w:val="00896433"/>
    <w:rsid w:val="008B6A3C"/>
    <w:rsid w:val="008C38D8"/>
    <w:rsid w:val="00902606"/>
    <w:rsid w:val="00910AE2"/>
    <w:rsid w:val="0095029F"/>
    <w:rsid w:val="00951985"/>
    <w:rsid w:val="009E2354"/>
    <w:rsid w:val="00A42E2B"/>
    <w:rsid w:val="00A44AF4"/>
    <w:rsid w:val="00A73361"/>
    <w:rsid w:val="00A74B19"/>
    <w:rsid w:val="00A958B3"/>
    <w:rsid w:val="00AA4534"/>
    <w:rsid w:val="00AD6E1C"/>
    <w:rsid w:val="00AE5D04"/>
    <w:rsid w:val="00B84E7D"/>
    <w:rsid w:val="00B91498"/>
    <w:rsid w:val="00BB1CDF"/>
    <w:rsid w:val="00BD0FF8"/>
    <w:rsid w:val="00C27810"/>
    <w:rsid w:val="00D14335"/>
    <w:rsid w:val="00D41CC3"/>
    <w:rsid w:val="00DF0332"/>
    <w:rsid w:val="00E05A21"/>
    <w:rsid w:val="00E16644"/>
    <w:rsid w:val="00EB3EE5"/>
    <w:rsid w:val="00ED26F7"/>
    <w:rsid w:val="00EE7CAD"/>
    <w:rsid w:val="00EF2713"/>
    <w:rsid w:val="00F208F6"/>
    <w:rsid w:val="00F30782"/>
    <w:rsid w:val="00F311AE"/>
    <w:rsid w:val="00F41F9C"/>
    <w:rsid w:val="00F9771E"/>
    <w:rsid w:val="00FA6C5A"/>
    <w:rsid w:val="00FC0276"/>
    <w:rsid w:val="00FD216B"/>
    <w:rsid w:val="00FD4E4A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23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3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E2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23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3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E2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en@ac-noumea.n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.dp@ac-noumea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NOUVELLE-CALEDONIE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CHALIER</dc:creator>
  <cp:lastModifiedBy>nbowe</cp:lastModifiedBy>
  <cp:revision>4</cp:revision>
  <cp:lastPrinted>2015-06-02T22:40:00Z</cp:lastPrinted>
  <dcterms:created xsi:type="dcterms:W3CDTF">2020-02-13T04:04:00Z</dcterms:created>
  <dcterms:modified xsi:type="dcterms:W3CDTF">2020-02-13T04:37:00Z</dcterms:modified>
</cp:coreProperties>
</file>